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02448BD7" w:rsidR="006C6E71" w:rsidRPr="006C6E71" w:rsidRDefault="001C548C">
                            <w:pPr>
                              <w:rPr>
                                <w:rFonts w:ascii="Arial" w:hAnsi="Arial" w:cs="Arial"/>
                                <w:sz w:val="22"/>
                                <w:szCs w:val="22"/>
                              </w:rPr>
                            </w:pPr>
                            <w:r>
                              <w:rPr>
                                <w:rFonts w:ascii="Arial" w:hAnsi="Arial" w:cs="Arial"/>
                                <w:sz w:val="22"/>
                                <w:szCs w:val="22"/>
                              </w:rPr>
                              <w:t>Risk Asessment for Tailings Storage Facilities – Recommendations for Execution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" fillcolor="white [3201]" strokeweight=".5pt">
                <v:textbox>
                  <w:txbxContent>
                    <w:p w14:paraId="38A50B74" w14:textId="02448BD7" w:rsidR="006C6E71" w:rsidRPr="006C6E71" w:rsidRDefault="001C548C">
                      <w:pPr>
                        <w:rPr>
                          <w:rFonts w:ascii="Arial" w:hAnsi="Arial" w:cs="Arial"/>
                          <w:sz w:val="22"/>
                          <w:szCs w:val="22"/>
                        </w:rPr>
                      </w:pPr>
                      <w:r>
                        <w:rPr>
                          <w:rFonts w:ascii="Arial" w:hAnsi="Arial" w:cs="Arial"/>
                          <w:sz w:val="22"/>
                          <w:szCs w:val="22"/>
                        </w:rPr>
                        <w:t>Risk Asessment for Tailings Storage Facilities – Recommendations for Execution</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151B9E"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151B9E">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151B9E"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151B9E">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151B9E"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151B9E">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3A435E"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3A435E">
        <w:rPr>
          <w:rFonts w:ascii="Calibri" w:eastAsia="Times New Roman" w:hAnsi="Calibri" w:cs="Calibri"/>
          <w:b/>
          <w:bCs/>
          <w:i/>
          <w:iCs/>
          <w:color w:val="333333"/>
          <w:kern w:val="0"/>
          <w:sz w:val="22"/>
          <w:szCs w:val="22"/>
          <w14:ligatures w14:val="none"/>
        </w:rPr>
        <w:t>Tailings Dam Safety</w:t>
      </w:r>
    </w:p>
    <w:p w14:paraId="68CD70BF" w14:textId="0ACFEBA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222BE34D" w:rsidR="002C2B73" w:rsidRDefault="003A435E" w:rsidP="00A80B7E">
                            <w:pPr>
                              <w:rPr>
                                <w:rFonts w:ascii="Arial" w:hAnsi="Arial" w:cs="Arial"/>
                                <w:sz w:val="22"/>
                                <w:szCs w:val="22"/>
                              </w:rPr>
                            </w:pPr>
                            <w:r w:rsidRPr="003A435E">
                              <w:rPr>
                                <w:rFonts w:ascii="Arial" w:hAnsi="Arial" w:cs="Arial"/>
                                <w:sz w:val="22"/>
                                <w:szCs w:val="22"/>
                              </w:rPr>
                              <w:t>Andy Small, M.Sc., P.Eng., Klohn Crippen Berger Ltd., Fredericton, New Brunswick, Canada</w:t>
                            </w:r>
                            <w:r>
                              <w:rPr>
                                <w:rFonts w:ascii="Arial" w:hAnsi="Arial" w:cs="Arial"/>
                                <w:sz w:val="22"/>
                                <w:szCs w:val="22"/>
                              </w:rPr>
                              <w:t>.</w:t>
                            </w:r>
                          </w:p>
                          <w:p w14:paraId="28563FCA" w14:textId="138E0970" w:rsidR="003A435E" w:rsidRPr="006C6E71" w:rsidRDefault="003A435E" w:rsidP="00A80B7E">
                            <w:pPr>
                              <w:rPr>
                                <w:rFonts w:ascii="Arial" w:hAnsi="Arial" w:cs="Arial"/>
                                <w:sz w:val="22"/>
                                <w:szCs w:val="22"/>
                              </w:rPr>
                            </w:pPr>
                            <w:r>
                              <w:rPr>
                                <w:rFonts w:ascii="Arial" w:hAnsi="Arial" w:cs="Arial"/>
                                <w:sz w:val="22"/>
                                <w:szCs w:val="22"/>
                              </w:rPr>
                              <w:t>1-506-429-2623. asmall@klohn.com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0C117074" w14:textId="222BE34D" w:rsidR="002C2B73" w:rsidRDefault="003A435E" w:rsidP="00A80B7E">
                      <w:pPr>
                        <w:rPr>
                          <w:rFonts w:ascii="Arial" w:hAnsi="Arial" w:cs="Arial"/>
                          <w:sz w:val="22"/>
                          <w:szCs w:val="22"/>
                        </w:rPr>
                      </w:pPr>
                      <w:r w:rsidRPr="003A435E">
                        <w:rPr>
                          <w:rFonts w:ascii="Arial" w:hAnsi="Arial" w:cs="Arial"/>
                          <w:sz w:val="22"/>
                          <w:szCs w:val="22"/>
                        </w:rPr>
                        <w:t>Andy Small, M.Sc., P.Eng., Klohn Crippen Berger Ltd., Fredericton, New Brunswick, Canada</w:t>
                      </w:r>
                      <w:r>
                        <w:rPr>
                          <w:rFonts w:ascii="Arial" w:hAnsi="Arial" w:cs="Arial"/>
                          <w:sz w:val="22"/>
                          <w:szCs w:val="22"/>
                        </w:rPr>
                        <w:t>.</w:t>
                      </w:r>
                    </w:p>
                    <w:p w14:paraId="28563FCA" w14:textId="138E0970" w:rsidR="003A435E" w:rsidRPr="006C6E71" w:rsidRDefault="003A435E" w:rsidP="00A80B7E">
                      <w:pPr>
                        <w:rPr>
                          <w:rFonts w:ascii="Arial" w:hAnsi="Arial" w:cs="Arial"/>
                          <w:sz w:val="22"/>
                          <w:szCs w:val="22"/>
                        </w:rPr>
                      </w:pPr>
                      <w:r>
                        <w:rPr>
                          <w:rFonts w:ascii="Arial" w:hAnsi="Arial" w:cs="Arial"/>
                          <w:sz w:val="22"/>
                          <w:szCs w:val="22"/>
                        </w:rPr>
                        <w:t>1-506-429-2623. asmall@klohn.com</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NO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67AD281" w14:textId="1AB575AC" w:rsidR="003A435E" w:rsidRPr="006C6E71" w:rsidRDefault="003A435E"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567AD281" w14:textId="1AB575AC" w:rsidR="003A435E" w:rsidRPr="006C6E71" w:rsidRDefault="003A435E" w:rsidP="002C2B73">
                      <w:pPr>
                        <w:rPr>
                          <w:rFonts w:ascii="Arial" w:hAnsi="Arial" w:cs="Arial"/>
                          <w:sz w:val="22"/>
                          <w:szCs w:val="22"/>
                        </w:rPr>
                      </w:pP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5A01B07A" w14:textId="77777777" w:rsidR="002C2B73" w:rsidRPr="006C6E71" w:rsidRDefault="002C2B73" w:rsidP="002C2B73">
                      <w:pPr>
                        <w:rPr>
                          <w:rFonts w:ascii="Arial" w:hAnsi="Arial" w:cs="Arial"/>
                          <w:sz w:val="22"/>
                          <w:szCs w:val="22"/>
                        </w:rPr>
                      </w:pP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75C8ED1" w:rsidR="00BD7066" w:rsidRDefault="002C2B73" w:rsidP="003A435E">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p>
    <w:p w14:paraId="5F42186E" w14:textId="77777777" w:rsidR="00B92BA2" w:rsidRDefault="00B92BA2" w:rsidP="003B2EAF">
      <w:pPr>
        <w:ind w:left="144" w:right="144"/>
        <w:rPr>
          <w:rFonts w:ascii="Arial" w:hAnsi="Arial" w:cs="Arial"/>
          <w:bCs/>
          <w:sz w:val="22"/>
          <w:szCs w:val="22"/>
        </w:rPr>
      </w:pPr>
    </w:p>
    <w:p w14:paraId="1C8B786A" w14:textId="61178B26" w:rsidR="003B2EAF" w:rsidRPr="003A435E" w:rsidRDefault="003B2EAF" w:rsidP="003B2EAF">
      <w:pPr>
        <w:ind w:left="144" w:right="144"/>
        <w:rPr>
          <w:rFonts w:ascii="Arial" w:hAnsi="Arial" w:cs="Arial"/>
          <w:b/>
          <w:sz w:val="22"/>
          <w:szCs w:val="22"/>
        </w:rPr>
      </w:pPr>
      <w:r w:rsidRPr="003A435E">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7369B4D6" w14:textId="4E12FD6F" w:rsidR="006C6E71" w:rsidRPr="006C6E71" w:rsidRDefault="001C548C" w:rsidP="008D4F02">
                            <w:pPr>
                              <w:rPr>
                                <w:rFonts w:ascii="Arial" w:hAnsi="Arial" w:cs="Arial"/>
                                <w:sz w:val="22"/>
                                <w:szCs w:val="22"/>
                              </w:rPr>
                            </w:pPr>
                            <w:r w:rsidRPr="001C548C">
                              <w:rPr>
                                <w:rFonts w:ascii="Arial" w:hAnsi="Arial" w:cs="Arial"/>
                                <w:sz w:val="22"/>
                                <w:szCs w:val="22"/>
                              </w:rPr>
                              <w:t xml:space="preserve">Many mine owners are undertaking risk assessments of their tailings storage facilities (TSFs) to better understand their risk exposure, the effectiveness of their controls and surveillance programs, and/or to comply with regulations and the Global Industry Standard on Tailings Management (GISTM). There are a variety of approaches employed by consultants and owners to assess their risks. In 2023 as part of the Tailings and Mine Waste Conference, the lead author of this proposed paper, Andy Small, issued a paper entitled “Extending a Mining Company’s Risk Assessment Framework to Tailings Facilities”. That paper provided an approach to assist mine owners in using their corporate risk assessment processes and extending them to TSF risk assessments. Since then, there have been several advancements in the world of risk assessments for </w:t>
                            </w:r>
                            <w:proofErr w:type="gramStart"/>
                            <w:r w:rsidRPr="001C548C">
                              <w:rPr>
                                <w:rFonts w:ascii="Arial" w:hAnsi="Arial" w:cs="Arial"/>
                                <w:sz w:val="22"/>
                                <w:szCs w:val="22"/>
                              </w:rPr>
                              <w:t>TSFs</w:t>
                            </w:r>
                            <w:proofErr w:type="gramEnd"/>
                            <w:r w:rsidRPr="001C548C">
                              <w:rPr>
                                <w:rFonts w:ascii="Arial" w:hAnsi="Arial" w:cs="Arial"/>
                                <w:sz w:val="22"/>
                                <w:szCs w:val="22"/>
                              </w:rPr>
                              <w:t xml:space="preserve"> and this paper describes an approach for semi-quantitative risk assessments for TSFs that the authors use when executing a risk assessment. The paper addresses </w:t>
                            </w:r>
                            <w:proofErr w:type="gramStart"/>
                            <w:r w:rsidRPr="001C548C">
                              <w:rPr>
                                <w:rFonts w:ascii="Arial" w:hAnsi="Arial" w:cs="Arial"/>
                                <w:sz w:val="22"/>
                                <w:szCs w:val="22"/>
                              </w:rPr>
                              <w:t>a number of</w:t>
                            </w:r>
                            <w:proofErr w:type="gramEnd"/>
                            <w:r w:rsidRPr="001C548C">
                              <w:rPr>
                                <w:rFonts w:ascii="Arial" w:hAnsi="Arial" w:cs="Arial"/>
                                <w:sz w:val="22"/>
                                <w:szCs w:val="22"/>
                              </w:rPr>
                              <w:t xml:space="preserve"> topics including how a failure mode can be described to support a risk assessment, how credible failure modes can be considered and linkages to the concept of ALARP (as low as </w:t>
                            </w:r>
                            <w:proofErr w:type="gramStart"/>
                            <w:r w:rsidRPr="001C548C">
                              <w:rPr>
                                <w:rFonts w:ascii="Arial" w:hAnsi="Arial" w:cs="Arial"/>
                                <w:sz w:val="22"/>
                                <w:szCs w:val="22"/>
                              </w:rPr>
                              <w:t>reasonable</w:t>
                            </w:r>
                            <w:proofErr w:type="gramEnd"/>
                            <w:r w:rsidRPr="001C548C">
                              <w:rPr>
                                <w:rFonts w:ascii="Arial" w:hAnsi="Arial" w:cs="Arial"/>
                                <w:sz w:val="22"/>
                                <w:szCs w:val="22"/>
                              </w:rPr>
                              <w:t xml:space="preserve"> practicable), and how the risk assessment can </w:t>
                            </w:r>
                            <w:proofErr w:type="gramStart"/>
                            <w:r w:rsidRPr="001C548C">
                              <w:rPr>
                                <w:rFonts w:ascii="Arial" w:hAnsi="Arial" w:cs="Arial"/>
                                <w:sz w:val="22"/>
                                <w:szCs w:val="22"/>
                              </w:rPr>
                              <w:t>support  emergency</w:t>
                            </w:r>
                            <w:proofErr w:type="gramEnd"/>
                            <w:r w:rsidRPr="001C548C">
                              <w:rPr>
                                <w:rFonts w:ascii="Arial" w:hAnsi="Arial" w:cs="Arial"/>
                                <w:sz w:val="22"/>
                                <w:szCs w:val="22"/>
                              </w:rPr>
                              <w:t xml:space="preserve"> plans and trigger, action, and response plans.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9yHOQIAAIQ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" fillcolor="white [3201]" strokeweight=".5pt">
                <v:textbox>
                  <w:txbxContent>
                    <w:p w14:paraId="7369B4D6" w14:textId="4E12FD6F" w:rsidR="006C6E71" w:rsidRPr="006C6E71" w:rsidRDefault="001C548C" w:rsidP="008D4F02">
                      <w:pPr>
                        <w:rPr>
                          <w:rFonts w:ascii="Arial" w:hAnsi="Arial" w:cs="Arial"/>
                          <w:sz w:val="22"/>
                          <w:szCs w:val="22"/>
                        </w:rPr>
                      </w:pPr>
                      <w:r w:rsidRPr="001C548C">
                        <w:rPr>
                          <w:rFonts w:ascii="Arial" w:hAnsi="Arial" w:cs="Arial"/>
                          <w:sz w:val="22"/>
                          <w:szCs w:val="22"/>
                        </w:rPr>
                        <w:t xml:space="preserve">Many mine owners are undertaking risk assessments of their tailings storage facilities (TSFs) to better understand their risk exposure, the effectiveness of their controls and surveillance programs, and/or to comply with regulations and the Global Industry Standard on Tailings Management (GISTM). There are a variety of approaches employed by consultants and owners to assess their risks. In 2023 as part of the Tailings and Mine Waste Conference, the lead author of this proposed paper, Andy Small, issued a paper entitled “Extending a Mining Company’s Risk Assessment Framework to Tailings Facilities”. That paper provided an approach to assist mine owners in using their corporate risk assessment processes and extending them to TSF risk assessments. Since then, there have been several advancements in the world of risk assessments for </w:t>
                      </w:r>
                      <w:proofErr w:type="gramStart"/>
                      <w:r w:rsidRPr="001C548C">
                        <w:rPr>
                          <w:rFonts w:ascii="Arial" w:hAnsi="Arial" w:cs="Arial"/>
                          <w:sz w:val="22"/>
                          <w:szCs w:val="22"/>
                        </w:rPr>
                        <w:t>TSFs</w:t>
                      </w:r>
                      <w:proofErr w:type="gramEnd"/>
                      <w:r w:rsidRPr="001C548C">
                        <w:rPr>
                          <w:rFonts w:ascii="Arial" w:hAnsi="Arial" w:cs="Arial"/>
                          <w:sz w:val="22"/>
                          <w:szCs w:val="22"/>
                        </w:rPr>
                        <w:t xml:space="preserve"> and this paper describes an approach for semi-quantitative risk assessments for TSFs that the authors use when executing a risk assessment. The paper addresses </w:t>
                      </w:r>
                      <w:proofErr w:type="gramStart"/>
                      <w:r w:rsidRPr="001C548C">
                        <w:rPr>
                          <w:rFonts w:ascii="Arial" w:hAnsi="Arial" w:cs="Arial"/>
                          <w:sz w:val="22"/>
                          <w:szCs w:val="22"/>
                        </w:rPr>
                        <w:t>a number of</w:t>
                      </w:r>
                      <w:proofErr w:type="gramEnd"/>
                      <w:r w:rsidRPr="001C548C">
                        <w:rPr>
                          <w:rFonts w:ascii="Arial" w:hAnsi="Arial" w:cs="Arial"/>
                          <w:sz w:val="22"/>
                          <w:szCs w:val="22"/>
                        </w:rPr>
                        <w:t xml:space="preserve"> topics including how a failure mode can be described to support a risk assessment, how credible failure modes can be considered and linkages to the concept of ALARP (as low as </w:t>
                      </w:r>
                      <w:proofErr w:type="gramStart"/>
                      <w:r w:rsidRPr="001C548C">
                        <w:rPr>
                          <w:rFonts w:ascii="Arial" w:hAnsi="Arial" w:cs="Arial"/>
                          <w:sz w:val="22"/>
                          <w:szCs w:val="22"/>
                        </w:rPr>
                        <w:t>reasonable</w:t>
                      </w:r>
                      <w:proofErr w:type="gramEnd"/>
                      <w:r w:rsidRPr="001C548C">
                        <w:rPr>
                          <w:rFonts w:ascii="Arial" w:hAnsi="Arial" w:cs="Arial"/>
                          <w:sz w:val="22"/>
                          <w:szCs w:val="22"/>
                        </w:rPr>
                        <w:t xml:space="preserve"> practicable), and how the risk assessment can </w:t>
                      </w:r>
                      <w:proofErr w:type="gramStart"/>
                      <w:r w:rsidRPr="001C548C">
                        <w:rPr>
                          <w:rFonts w:ascii="Arial" w:hAnsi="Arial" w:cs="Arial"/>
                          <w:sz w:val="22"/>
                          <w:szCs w:val="22"/>
                        </w:rPr>
                        <w:t>support  emergency</w:t>
                      </w:r>
                      <w:proofErr w:type="gramEnd"/>
                      <w:r w:rsidRPr="001C548C">
                        <w:rPr>
                          <w:rFonts w:ascii="Arial" w:hAnsi="Arial" w:cs="Arial"/>
                          <w:sz w:val="22"/>
                          <w:szCs w:val="22"/>
                        </w:rPr>
                        <w:t xml:space="preserve"> plans and trigger, action, and response plans.</w:t>
                      </w: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35223FCB">
                <wp:simplePos x="0" y="0"/>
                <wp:positionH relativeFrom="column">
                  <wp:posOffset>19050</wp:posOffset>
                </wp:positionH>
                <wp:positionV relativeFrom="paragraph">
                  <wp:posOffset>118744</wp:posOffset>
                </wp:positionV>
                <wp:extent cx="6324600" cy="37623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3762375"/>
                        </a:xfrm>
                        <a:prstGeom prst="rect">
                          <a:avLst/>
                        </a:prstGeom>
                        <a:solidFill>
                          <a:schemeClr val="lt1"/>
                        </a:solidFill>
                        <a:ln w="6350">
                          <a:solidFill>
                            <a:prstClr val="black"/>
                          </a:solidFill>
                        </a:ln>
                      </wps:spPr>
                      <wps:txbx>
                        <w:txbxContent>
                          <w:p w14:paraId="5E0185D3" w14:textId="34675B3C" w:rsidR="006176B1" w:rsidRDefault="003A435E" w:rsidP="006176B1">
                            <w:pPr>
                              <w:rPr>
                                <w:rFonts w:ascii="Arial" w:hAnsi="Arial" w:cs="Arial"/>
                                <w:sz w:val="22"/>
                                <w:szCs w:val="22"/>
                              </w:rPr>
                            </w:pPr>
                            <w:r>
                              <w:rPr>
                                <w:rFonts w:ascii="Arial" w:hAnsi="Arial" w:cs="Arial"/>
                                <w:sz w:val="22"/>
                                <w:szCs w:val="22"/>
                              </w:rPr>
                              <w:t>Translation done using MS Word, my apologies if it is not very good.</w:t>
                            </w:r>
                          </w:p>
                          <w:p w14:paraId="06F51CAB" w14:textId="77777777" w:rsidR="003A435E" w:rsidRDefault="003A435E" w:rsidP="006176B1">
                            <w:pPr>
                              <w:rPr>
                                <w:rFonts w:ascii="Arial" w:hAnsi="Arial" w:cs="Arial"/>
                                <w:sz w:val="22"/>
                                <w:szCs w:val="22"/>
                              </w:rPr>
                            </w:pPr>
                          </w:p>
                          <w:p w14:paraId="551282C6" w14:textId="77777777" w:rsidR="001C548C" w:rsidRPr="001C548C" w:rsidRDefault="001C548C" w:rsidP="001C548C">
                            <w:pPr>
                              <w:pStyle w:val="CDAAbstracttext10pt"/>
                              <w:rPr>
                                <w:lang w:val="pt-BR"/>
                              </w:rPr>
                            </w:pPr>
                            <w:r w:rsidRPr="001C548C">
                              <w:rPr>
                                <w:lang w:val="pt-BR"/>
                              </w:rPr>
                              <w:t xml:space="preserve">ABSTRACTO </w:t>
                            </w:r>
                          </w:p>
                          <w:p w14:paraId="7B77D9E6" w14:textId="422FCF6E" w:rsidR="006176B1" w:rsidRPr="001C548C" w:rsidRDefault="001C548C" w:rsidP="001C548C">
                            <w:pPr>
                              <w:pStyle w:val="CDAAbstracttext10pt"/>
                              <w:rPr>
                                <w:rFonts w:ascii="Arial" w:hAnsi="Arial" w:cs="Arial"/>
                                <w:sz w:val="22"/>
                                <w:szCs w:val="22"/>
                                <w:lang w:val="pt-BR"/>
                              </w:rPr>
                            </w:pPr>
                            <w:r w:rsidRPr="001C548C">
                              <w:rPr>
                                <w:lang w:val="pt-BR"/>
                              </w:rPr>
                              <w:t>Muchos propietarios de minas están realizando evaluaciones de riesgos de sus instalaciones de almacenamiento de relaves (TSF) para comprender mejor su exposición al riesgo, la efectividad de sus controles y programas de vigilancia, y/o para cumplir con las regulaciones y el Estándar Global de la Industria sobre Gestión de Relaves (GISTM). Hay una variedad de enfoques empleados por consultores y propietarios para evaluar sus riesgos. En 2023, como parte de la Conferencia de Relaves y Residuos Mineros, el autor principal de este documento propuesto, Andy Small, emitió un documento titulado "Extensión del marco de evaluación de riesgos de una empresa minera a las instalaciones de relaves". Ese documento proporcionó un enfoque para ayudar a los propietarios de minas a utilizar sus procesos corporativos de evaluación de riesgos y extenderlos a las evaluaciones de riesgos de TSF. Desde entonces, ha habido varios avances en el mundo de las evaluaciones de riesgos para TSF y este documento describe un enfoque para las evaluaciones de riesgos semicuantitativas para TSF que los autores utilizan al ejecutar una evaluación de riesgos. El documento aborda una serie de temas, incluida la forma en que se puede describir un modo de falla para respaldar una evaluación de riesgos, cómo se pueden considerar modos de falla creíbles y los vínculos con el concepto de ALARP (tan bajo como sea razonablemente posible), y cómo la evaluación de riesgos puede respaldar los planes de emergencia y los planes de activación, acción y respuesta.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5pt;margin-top:9.35pt;width:498pt;height:29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" fillcolor="white [3201]" strokeweight=".5pt">
                <v:textbox>
                  <w:txbxContent>
                    <w:p w14:paraId="5E0185D3" w14:textId="34675B3C" w:rsidR="006176B1" w:rsidRDefault="003A435E" w:rsidP="006176B1">
                      <w:pPr>
                        <w:rPr>
                          <w:rFonts w:ascii="Arial" w:hAnsi="Arial" w:cs="Arial"/>
                          <w:sz w:val="22"/>
                          <w:szCs w:val="22"/>
                        </w:rPr>
                      </w:pPr>
                      <w:r>
                        <w:rPr>
                          <w:rFonts w:ascii="Arial" w:hAnsi="Arial" w:cs="Arial"/>
                          <w:sz w:val="22"/>
                          <w:szCs w:val="22"/>
                        </w:rPr>
                        <w:t>Translation done using MS Word, my apologies if it is not very good.</w:t>
                      </w:r>
                    </w:p>
                    <w:p w14:paraId="06F51CAB" w14:textId="77777777" w:rsidR="003A435E" w:rsidRDefault="003A435E" w:rsidP="006176B1">
                      <w:pPr>
                        <w:rPr>
                          <w:rFonts w:ascii="Arial" w:hAnsi="Arial" w:cs="Arial"/>
                          <w:sz w:val="22"/>
                          <w:szCs w:val="22"/>
                        </w:rPr>
                      </w:pPr>
                    </w:p>
                    <w:p w14:paraId="551282C6" w14:textId="77777777" w:rsidR="001C548C" w:rsidRPr="001C548C" w:rsidRDefault="001C548C" w:rsidP="001C548C">
                      <w:pPr>
                        <w:pStyle w:val="CDAAbstracttext10pt"/>
                        <w:rPr>
                          <w:lang w:val="pt-BR"/>
                        </w:rPr>
                      </w:pPr>
                      <w:r w:rsidRPr="001C548C">
                        <w:rPr>
                          <w:lang w:val="pt-BR"/>
                        </w:rPr>
                        <w:t xml:space="preserve">ABSTRACTO </w:t>
                      </w:r>
                    </w:p>
                    <w:p w14:paraId="7B77D9E6" w14:textId="422FCF6E" w:rsidR="006176B1" w:rsidRPr="001C548C" w:rsidRDefault="001C548C" w:rsidP="001C548C">
                      <w:pPr>
                        <w:pStyle w:val="CDAAbstracttext10pt"/>
                        <w:rPr>
                          <w:rFonts w:ascii="Arial" w:hAnsi="Arial" w:cs="Arial"/>
                          <w:sz w:val="22"/>
                          <w:szCs w:val="22"/>
                          <w:lang w:val="pt-BR"/>
                        </w:rPr>
                      </w:pPr>
                      <w:r w:rsidRPr="001C548C">
                        <w:rPr>
                          <w:lang w:val="pt-BR"/>
                        </w:rPr>
                        <w:t>Muchos propietarios de minas están realizando evaluaciones de riesgos de sus instalaciones de almacenamiento de relaves (TSF) para comprender mejor su exposición al riesgo, la efectividad de sus controles y programas de vigilancia, y/o para cumplir con las regulaciones y el Estándar Global de la Industria sobre Gestión de Relaves (GISTM). Hay una variedad de enfoques empleados por consultores y propietarios para evaluar sus riesgos. En 2023, como parte de la Conferencia de Relaves y Residuos Mineros, el autor principal de este documento propuesto, Andy Small, emitió un documento titulado "Extensión del marco de evaluación de riesgos de una empresa minera a las instalaciones de relaves". Ese documento proporcionó un enfoque para ayudar a los propietarios de minas a utilizar sus procesos corporativos de evaluación de riesgos y extenderlos a las evaluaciones de riesgos de TSF. Desde entonces, ha habido varios avances en el mundo de las evaluaciones de riesgos para TSF y este documento describe un enfoque para las evaluaciones de riesgos semicuantitativas para TSF que los autores utilizan al ejecutar una evaluación de riesgos. El documento aborda una serie de temas, incluida la forma en que se puede describir un modo de falla para respaldar una evaluación de riesgos, cómo se pueden considerar modos de falla creíbles y los vínculos con el concepto de ALARP (tan bajo como sea razonablemente posible), y cómo la evaluación de riesgos puede respaldar los planes de emergencia y los planes de activación, acción y respuesta.</w:t>
                      </w: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7"/>
      <w:footerReference w:type="default" r:id="rId8"/>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1CEFE" w14:textId="77777777" w:rsidR="0038331F" w:rsidRDefault="0038331F">
      <w:r>
        <w:separator/>
      </w:r>
    </w:p>
  </w:endnote>
  <w:endnote w:type="continuationSeparator" w:id="0">
    <w:p w14:paraId="2DAD7124" w14:textId="77777777" w:rsidR="0038331F" w:rsidRDefault="00383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default"/>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553BAA4A" w:rsidR="00413342" w:rsidRPr="00EA6D3B" w:rsidRDefault="003A435E">
                          <w:pPr>
                            <w:rPr>
                              <w:rFonts w:ascii="Arial" w:hAnsi="Arial" w:cs="Arial"/>
                              <w:sz w:val="22"/>
                              <w:szCs w:val="22"/>
                            </w:rPr>
                          </w:pPr>
                          <w:r>
                            <w:rPr>
                              <w:rFonts w:ascii="Arial" w:hAnsi="Arial" w:cs="Arial"/>
                              <w:sz w:val="22"/>
                              <w:szCs w:val="22"/>
                            </w:rPr>
                            <w:t>Andy Small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553BAA4A" w:rsidR="00413342" w:rsidRPr="00EA6D3B" w:rsidRDefault="003A435E">
                    <w:pPr>
                      <w:rPr>
                        <w:rFonts w:ascii="Arial" w:hAnsi="Arial" w:cs="Arial"/>
                        <w:sz w:val="22"/>
                        <w:szCs w:val="22"/>
                      </w:rPr>
                    </w:pPr>
                    <w:r>
                      <w:rPr>
                        <w:rFonts w:ascii="Arial" w:hAnsi="Arial" w:cs="Arial"/>
                        <w:sz w:val="22"/>
                        <w:szCs w:val="22"/>
                      </w:rPr>
                      <w:t>Andy Small</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4CEAD" w14:textId="77777777" w:rsidR="0038331F" w:rsidRDefault="0038331F">
      <w:r>
        <w:separator/>
      </w:r>
    </w:p>
  </w:footnote>
  <w:footnote w:type="continuationSeparator" w:id="0">
    <w:p w14:paraId="422F4FD5" w14:textId="77777777" w:rsidR="0038331F" w:rsidRDefault="00383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1B9E"/>
    <w:rsid w:val="00155027"/>
    <w:rsid w:val="00162C68"/>
    <w:rsid w:val="001720B4"/>
    <w:rsid w:val="001745BE"/>
    <w:rsid w:val="0017516C"/>
    <w:rsid w:val="00177361"/>
    <w:rsid w:val="00182FBC"/>
    <w:rsid w:val="00191CB0"/>
    <w:rsid w:val="00192D3D"/>
    <w:rsid w:val="00193FA3"/>
    <w:rsid w:val="001C13D9"/>
    <w:rsid w:val="001C1FD7"/>
    <w:rsid w:val="001C548C"/>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331F"/>
    <w:rsid w:val="0038404B"/>
    <w:rsid w:val="003842EB"/>
    <w:rsid w:val="00384D65"/>
    <w:rsid w:val="00385AFF"/>
    <w:rsid w:val="0039113B"/>
    <w:rsid w:val="0039396C"/>
    <w:rsid w:val="00394BD0"/>
    <w:rsid w:val="00396098"/>
    <w:rsid w:val="003A0F88"/>
    <w:rsid w:val="003A435E"/>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37E98"/>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1187"/>
    <w:rsid w:val="00E2431A"/>
    <w:rsid w:val="00E24444"/>
    <w:rsid w:val="00E27C2D"/>
    <w:rsid w:val="00E32E42"/>
    <w:rsid w:val="00E33A8D"/>
    <w:rsid w:val="00E3516D"/>
    <w:rsid w:val="00E40F2D"/>
    <w:rsid w:val="00E4749E"/>
    <w:rsid w:val="00E55D27"/>
    <w:rsid w:val="00E55EAE"/>
    <w:rsid w:val="00E60459"/>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775F5"/>
    <w:rsid w:val="00F8071C"/>
    <w:rsid w:val="00F80FE3"/>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 w:type="paragraph" w:customStyle="1" w:styleId="CDAAbstracttext10pt">
    <w:name w:val="CDA Abstract text (10 pt)"/>
    <w:basedOn w:val="Normal"/>
    <w:qFormat/>
    <w:rsid w:val="003A435E"/>
    <w:pPr>
      <w:jc w:val="both"/>
    </w:pPr>
    <w:rPr>
      <w:sz w:val="20"/>
      <w:szCs w:val="20"/>
      <w:lang w:val="en-CA" w:eastAsia="en-CA"/>
    </w:rPr>
  </w:style>
  <w:style w:type="paragraph" w:customStyle="1" w:styleId="CDAReferencelist10pt">
    <w:name w:val="CDA Reference list (10 pt)"/>
    <w:basedOn w:val="Normal"/>
    <w:qFormat/>
    <w:rsid w:val="003A435E"/>
    <w:pPr>
      <w:ind w:left="567" w:hanging="567"/>
    </w:pPr>
    <w:rPr>
      <w:rFonts w:cs="Times"/>
      <w:sz w:val="20"/>
      <w:szCs w:val="21"/>
      <w:shd w:val="clear" w:color="auto" w:fill="FFFFFF"/>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194</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Small, Andy</cp:lastModifiedBy>
  <cp:revision>4</cp:revision>
  <cp:lastPrinted>2025-08-10T23:03:00Z</cp:lastPrinted>
  <dcterms:created xsi:type="dcterms:W3CDTF">2025-10-06T00:37:00Z</dcterms:created>
  <dcterms:modified xsi:type="dcterms:W3CDTF">2025-10-06T00:44:00Z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